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C5341"/>
        </w:rPr>
        <w:t>MEISTER CO., LTD. / GLOBAL PROJECT OFFICE</w:t>
      </w:r>
    </w:p>
    <w:p>
      <w:pPr>
        <w:jc w:val="center"/>
      </w:pPr>
      <w:r>
        <w:rPr>
          <w:b/>
          <w:color w:val="073A33"/>
          <w:sz w:val="40"/>
        </w:rPr>
        <w:t>OVERSEAS SAMPLE ACCEPTANCE STANDARD</w:t>
      </w:r>
    </w:p>
    <w:p>
      <w:pPr>
        <w:jc w:val="center"/>
      </w:pPr>
      <w:r>
        <w:rPr>
          <w:i/>
        </w:rPr>
        <w:t>Pre-approval is mandatory before any shipment to Japan</w:t>
      </w:r>
    </w:p>
    <w:p>
      <w:pPr>
        <w:pStyle w:val="Heading1"/>
      </w:pPr>
      <w:r>
        <w:t>1. Core rule</w:t>
      </w:r>
    </w:p>
    <w:p>
      <w:r>
        <w:t>Do not ship any soil, sludge, waste, chemical, biological material or contaminated sample until MEISTER issues a written sample acceptance number. A courier booking or customer declaration is not acceptance.</w:t>
      </w:r>
    </w:p>
    <w:p>
      <w:pPr>
        <w:pStyle w:val="Heading1"/>
      </w:pPr>
      <w:r>
        <w:t>2. Required before acceptance</w:t>
      </w:r>
    </w:p>
    <w:p>
      <w:pPr>
        <w:pStyle w:val="ListBullet"/>
      </w:pPr>
      <w:r>
        <w:t>Origin, ownership, purpose and lawful status of the sample.</w:t>
      </w:r>
    </w:p>
    <w:p>
      <w:pPr>
        <w:pStyle w:val="ListBullet"/>
      </w:pPr>
      <w:r>
        <w:t>Recent analytical report and SDS or equivalent hazard information.</w:t>
      </w:r>
    </w:p>
    <w:p>
      <w:pPr>
        <w:pStyle w:val="ListBullet"/>
      </w:pPr>
      <w:r>
        <w:t>Target compounds, concentration range, physical properties and quantity.</w:t>
      </w:r>
    </w:p>
    <w:p>
      <w:pPr>
        <w:pStyle w:val="ListBullet"/>
      </w:pPr>
      <w:r>
        <w:t>Proposed HS classification, exporter/importer, carrier and customs route.</w:t>
      </w:r>
    </w:p>
    <w:p>
      <w:pPr>
        <w:pStyle w:val="ListBullet"/>
      </w:pPr>
      <w:r>
        <w:t>Packaging, labels, chain of custody, emergency contact and return/disposal plan.</w:t>
      </w:r>
    </w:p>
    <w:p>
      <w:pPr>
        <w:pStyle w:val="ListBullet"/>
      </w:pPr>
      <w:r>
        <w:t>Written confirmation that the material is not radioactive and contains no undisclosed pathogens, explosives or prohibited substances.</w:t>
      </w:r>
    </w:p>
    <w:p>
      <w:pPr>
        <w:pStyle w:val="Heading1"/>
      </w:pPr>
      <w:r>
        <w:t>3. Automatic hold / refusal</w:t>
      </w:r>
    </w:p>
    <w:tbl>
      <w:tblPr>
        <w:tblStyle w:val="LightShading-Accent1"/>
        <w:tblW w:type="auto" w:w="0"/>
        <w:jc w:val="center"/>
        <w:tblLook w:firstColumn="1" w:firstRow="1" w:lastColumn="0" w:lastRow="0" w:noHBand="0" w:noVBand="1" w:val="04A0"/>
      </w:tblPr>
      <w:tblGrid>
        <w:gridCol w:w="5100"/>
        <w:gridCol w:w="5100"/>
      </w:tblGrid>
      <w:tr>
        <w:tc>
          <w:tcPr>
            <w:tcW w:type="dxa" w:w="5100"/>
          </w:tcPr>
          <w:p>
            <w:r>
              <w:t>Status</w:t>
            </w:r>
          </w:p>
        </w:tc>
        <w:tc>
          <w:tcPr>
            <w:tcW w:type="dxa" w:w="5100"/>
          </w:tcPr>
          <w:p>
            <w:r>
              <w:t>Examples</w:t>
            </w:r>
          </w:p>
        </w:tc>
      </w:tr>
      <w:tr>
        <w:tc>
          <w:tcPr>
            <w:tcW w:type="dxa" w:w="5100"/>
          </w:tcPr>
          <w:p>
            <w:r>
              <w:t>Refuse unless separately licensed</w:t>
            </w:r>
          </w:p>
        </w:tc>
        <w:tc>
          <w:tcPr>
            <w:tcW w:type="dxa" w:w="5100"/>
          </w:tcPr>
          <w:p>
            <w:r>
              <w:t>Radioactive material; explosives; infectious substances; unknown compressed gas; leaking or damaged packages.</w:t>
            </w:r>
          </w:p>
        </w:tc>
      </w:tr>
      <w:tr>
        <w:tc>
          <w:tcPr>
            <w:tcW w:type="dxa" w:w="5100"/>
          </w:tcPr>
          <w:p>
            <w:r>
              <w:t>Special legal review</w:t>
            </w:r>
          </w:p>
        </w:tc>
        <w:tc>
          <w:tcPr>
            <w:tcW w:type="dxa" w:w="5100"/>
          </w:tcPr>
          <w:p>
            <w:r>
              <w:t>Dioxin/PCB/POPs; hazardous waste; contaminated soil or sludge; CITES/quarantine-controlled biological or agricultural materials.</w:t>
            </w:r>
          </w:p>
        </w:tc>
      </w:tr>
      <w:tr>
        <w:tc>
          <w:tcPr>
            <w:tcW w:type="dxa" w:w="5100"/>
          </w:tcPr>
          <w:p>
            <w:r>
              <w:t>Information hold</w:t>
            </w:r>
          </w:p>
        </w:tc>
        <w:tc>
          <w:tcPr>
            <w:tcW w:type="dxa" w:w="5100"/>
          </w:tcPr>
          <w:p>
            <w:r>
              <w:t>Unknown composition; missing analysis; inconsistent origin; no lawful importer; no disposal route.</w:t>
            </w:r>
          </w:p>
        </w:tc>
      </w:tr>
    </w:tbl>
    <w:p>
      <w:pPr>
        <w:pStyle w:val="Heading1"/>
      </w:pPr>
      <w:r>
        <w:t>4. Packaging minimum</w:t>
      </w:r>
    </w:p>
    <w:p>
      <w:pPr>
        <w:pStyle w:val="ListBullet"/>
      </w:pPr>
      <w:r>
        <w:t>Primary leak-proof compatible container, sealed and individually labeled.</w:t>
      </w:r>
    </w:p>
    <w:p>
      <w:pPr>
        <w:pStyle w:val="ListBullet"/>
      </w:pPr>
      <w:r>
        <w:t>Secondary leak-proof containment with absorbent material.</w:t>
      </w:r>
    </w:p>
    <w:p>
      <w:pPr>
        <w:pStyle w:val="ListBullet"/>
      </w:pPr>
      <w:r>
        <w:t>Rigid outer package suitable for the hazard and transport mode.</w:t>
      </w:r>
    </w:p>
    <w:p>
      <w:pPr>
        <w:pStyle w:val="ListBullet"/>
      </w:pPr>
      <w:r>
        <w:t>Sample ID, net quantity, hazards, storage condition and acceptance number on documents.</w:t>
      </w:r>
    </w:p>
    <w:p>
      <w:pPr>
        <w:pStyle w:val="ListBullet"/>
      </w:pPr>
      <w:r>
        <w:t>Temperature control and tamper evidence when required.</w:t>
      </w:r>
    </w:p>
    <w:p>
      <w:pPr>
        <w:pStyle w:val="Heading1"/>
      </w:pPr>
      <w:r>
        <w:t>5. Receipt and disposition</w:t>
      </w:r>
    </w:p>
    <w:p>
      <w:pPr>
        <w:pStyle w:val="ListBullet"/>
      </w:pPr>
      <w:r>
        <w:t>MEISTER checks package condition and documents before opening.</w:t>
      </w:r>
    </w:p>
    <w:p>
      <w:pPr>
        <w:pStyle w:val="ListBullet"/>
      </w:pPr>
      <w:r>
        <w:t>Nonconforming packages may be isolated, returned or disposed of at the sender’s cost.</w:t>
      </w:r>
    </w:p>
    <w:p>
      <w:pPr>
        <w:pStyle w:val="ListBullet"/>
      </w:pPr>
      <w:r>
        <w:t>Residual samples are returned or disposed of only under the agreed written route.</w:t>
      </w:r>
    </w:p>
    <w:p>
      <w:pPr>
        <w:pStyle w:val="ListBullet"/>
      </w:pPr>
      <w:r>
        <w:t>Retention period, analysis subcontractor and data handling are recorded per project.</w:t>
      </w:r>
    </w:p>
    <w:p>
      <w:pPr>
        <w:pStyle w:val="Heading1"/>
      </w:pPr>
      <w:r>
        <w:t>6. Responsibility</w:t>
      </w:r>
    </w:p>
    <w:p>
      <w:r>
        <w:t>The exporter and project owner remain responsible for truthful classification, export permission and lawful shipment. The importer of record and Japanese receiving party must be confirmed in writing. This standard is an internal acceptance gate and does not replace customs, dangerous-goods, waste, quarantine or environmental law advice.</w:t>
      </w:r>
    </w:p>
    <w:sectPr w:rsidR="00FC693F" w:rsidRPr="0006063C" w:rsidSect="00034616">
      <w:footerReference w:type="default" r:id="rId9"/>
      <w:pgSz w:w="12240" w:h="15840"/>
      <w:pgMar w:top="879" w:right="1020" w:bottom="822"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MEISTER Co., Ltd. | Project-specific approval required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