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5341"/>
        </w:rPr>
        <w:t>MEISTER CO., LTD. / GLOBAL PROJECT OFFICE</w:t>
      </w:r>
    </w:p>
    <w:p>
      <w:pPr>
        <w:jc w:val="center"/>
      </w:pPr>
      <w:r>
        <w:rPr>
          <w:b/>
          <w:color w:val="08372F"/>
          <w:sz w:val="42"/>
        </w:rPr>
        <w:t>PAID TREATABILITY TEST AND PARTNER COMMERCIAL TERMS</w:t>
      </w:r>
    </w:p>
    <w:p>
      <w:pPr>
        <w:jc w:val="center"/>
      </w:pPr>
      <w:r>
        <w:rPr>
          <w:i/>
        </w:rPr>
        <w:t>Standard discussion basis - final quotation and local legal review required</w:t>
      </w:r>
    </w:p>
    <w:p>
      <w:pPr>
        <w:pStyle w:val="Heading1"/>
      </w:pPr>
      <w:r>
        <w:t>1. Paid test packages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Package</w:t>
            </w:r>
          </w:p>
        </w:tc>
        <w:tc>
          <w:tcPr>
            <w:tcW w:type="dxa" w:w="3324"/>
          </w:tcPr>
          <w:p>
            <w:r>
              <w:t>Scope</w:t>
            </w:r>
          </w:p>
        </w:tc>
        <w:tc>
          <w:tcPr>
            <w:tcW w:type="dxa" w:w="3324"/>
          </w:tcPr>
          <w:p>
            <w:r>
              <w:t>Standard discussion price</w:t>
            </w:r>
          </w:p>
        </w:tc>
      </w:tr>
      <w:tr>
        <w:tc>
          <w:tcPr>
            <w:tcW w:type="dxa" w:w="3324"/>
          </w:tcPr>
          <w:p>
            <w:r>
              <w:t>Document review</w:t>
            </w:r>
          </w:p>
        </w:tc>
        <w:tc>
          <w:tcPr>
            <w:tcW w:type="dxa" w:w="3324"/>
          </w:tcPr>
          <w:p>
            <w:r>
              <w:t>Existing reports, online meeting, gap list, preliminary route</w:t>
            </w:r>
          </w:p>
        </w:tc>
        <w:tc>
          <w:tcPr>
            <w:tcW w:type="dxa" w:w="3324"/>
          </w:tcPr>
          <w:p>
            <w:r>
              <w:t>JPY 150,000 excl. tax</w:t>
            </w:r>
          </w:p>
        </w:tc>
      </w:tr>
      <w:tr>
        <w:tc>
          <w:tcPr>
            <w:tcW w:type="dxa" w:w="3324"/>
          </w:tcPr>
          <w:p>
            <w:r>
              <w:t>Laboratory screening</w:t>
            </w:r>
          </w:p>
        </w:tc>
        <w:tc>
          <w:tcPr>
            <w:tcW w:type="dxa" w:w="3324"/>
          </w:tcPr>
          <w:p>
            <w:r>
              <w:t>One representative matrix, untreated control, agreed conditions, MEISTER report; external analysis separate</w:t>
            </w:r>
          </w:p>
        </w:tc>
        <w:tc>
          <w:tcPr>
            <w:tcW w:type="dxa" w:w="3324"/>
          </w:tcPr>
          <w:p>
            <w:r>
              <w:t>From JPY 800,000 excl. tax</w:t>
            </w:r>
          </w:p>
        </w:tc>
      </w:tr>
      <w:tr>
        <w:tc>
          <w:tcPr>
            <w:tcW w:type="dxa" w:w="3324"/>
          </w:tcPr>
          <w:p>
            <w:r>
              <w:t>Extended verification</w:t>
            </w:r>
          </w:p>
        </w:tc>
        <w:tc>
          <w:tcPr>
            <w:tcW w:type="dxa" w:w="3324"/>
          </w:tcPr>
          <w:p>
            <w:r>
              <w:t>Multiple conditions/repeats, liquid/condensate review, independent analysis coordination</w:t>
            </w:r>
          </w:p>
        </w:tc>
        <w:tc>
          <w:tcPr>
            <w:tcW w:type="dxa" w:w="3324"/>
          </w:tcPr>
          <w:p>
            <w:r>
              <w:t>From JPY 2,500,000 excl. tax</w:t>
            </w:r>
          </w:p>
        </w:tc>
      </w:tr>
      <w:tr>
        <w:tc>
          <w:tcPr>
            <w:tcW w:type="dxa" w:w="3324"/>
          </w:tcPr>
          <w:p>
            <w:r>
              <w:t>Pilot planning</w:t>
            </w:r>
          </w:p>
        </w:tc>
        <w:tc>
          <w:tcPr>
            <w:tcW w:type="dxa" w:w="3324"/>
          </w:tcPr>
          <w:p>
            <w:r>
              <w:t>Pilot protocol, site/utilities review, risk and commercial-design basis</w:t>
            </w:r>
          </w:p>
        </w:tc>
        <w:tc>
          <w:tcPr>
            <w:tcW w:type="dxa" w:w="3324"/>
          </w:tcPr>
          <w:p>
            <w:r>
              <w:t>Individual quotation</w:t>
            </w:r>
          </w:p>
        </w:tc>
      </w:tr>
    </w:tbl>
    <w:p>
      <w:r>
        <w:t>Prices above are standard discussion references. Sample shipment, customs, independent laboratory fees, hazardous-material handling, travel, translation, permits, return/disposal and taxes are additional unless expressly included.</w:t>
      </w:r>
    </w:p>
    <w:p>
      <w:pPr>
        <w:pStyle w:val="Heading1"/>
      </w:pPr>
      <w:r>
        <w:t>2. Payment and decision conditions</w:t>
      </w:r>
    </w:p>
    <w:p>
      <w:pPr>
        <w:pStyle w:val="ListBullet"/>
      </w:pPr>
      <w:r>
        <w:t>Document review: 100% advance payment.</w:t>
      </w:r>
    </w:p>
    <w:p>
      <w:pPr>
        <w:pStyle w:val="ListBullet"/>
      </w:pPr>
      <w:r>
        <w:t>Laboratory screening: 70% on order, 30% before final report.</w:t>
      </w:r>
    </w:p>
    <w:p>
      <w:pPr>
        <w:pStyle w:val="ListBullet"/>
      </w:pPr>
      <w:r>
        <w:t>Extended verification and pilot: milestone payment stated in quotation.</w:t>
      </w:r>
    </w:p>
    <w:p>
      <w:pPr>
        <w:pStyle w:val="ListBullet"/>
      </w:pPr>
      <w:r>
        <w:t>No equipment performance, full-scale cost or delivery commitment before test data and site requirements are confirmed.</w:t>
      </w:r>
    </w:p>
    <w:p>
      <w:pPr>
        <w:pStyle w:val="ListBullet"/>
      </w:pPr>
      <w:r>
        <w:t>Client supplies lawful, representative and accurately disclosed samples and bears undisclosed-hazard costs.</w:t>
      </w:r>
    </w:p>
    <w:p>
      <w:pPr>
        <w:pStyle w:val="Heading1"/>
      </w:pPr>
      <w:r>
        <w:t>3. Partner level and discount framework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Level</w:t>
            </w:r>
          </w:p>
        </w:tc>
        <w:tc>
          <w:tcPr>
            <w:tcW w:type="dxa" w:w="3324"/>
          </w:tcPr>
          <w:p>
            <w:r>
              <w:t>Condition</w:t>
            </w:r>
          </w:p>
        </w:tc>
        <w:tc>
          <w:tcPr>
            <w:tcW w:type="dxa" w:w="3324"/>
          </w:tcPr>
          <w:p>
            <w:r>
              <w:t>Commercial treatment</w:t>
            </w:r>
          </w:p>
        </w:tc>
      </w:tr>
      <w:tr>
        <w:tc>
          <w:tcPr>
            <w:tcW w:type="dxa" w:w="3324"/>
          </w:tcPr>
          <w:p>
            <w:r>
              <w:t>Registered referral</w:t>
            </w:r>
          </w:p>
        </w:tc>
        <w:tc>
          <w:tcPr>
            <w:tcW w:type="dxa" w:w="3324"/>
          </w:tcPr>
          <w:p>
            <w:r>
              <w:t>Introduces a qualified, registered opportunity</w:t>
            </w:r>
          </w:p>
        </w:tc>
        <w:tc>
          <w:tcPr>
            <w:tcW w:type="dxa" w:w="3324"/>
          </w:tcPr>
          <w:p>
            <w:r>
              <w:t>Referral fee agreed per collected project revenue; no authority to quote or bind MEISTER</w:t>
            </w:r>
          </w:p>
        </w:tc>
      </w:tr>
      <w:tr>
        <w:tc>
          <w:tcPr>
            <w:tcW w:type="dxa" w:w="3324"/>
          </w:tcPr>
          <w:p>
            <w:r>
              <w:t>Non-exclusive distributor</w:t>
            </w:r>
          </w:p>
        </w:tc>
        <w:tc>
          <w:tcPr>
            <w:tcW w:type="dxa" w:w="3324"/>
          </w:tcPr>
          <w:p>
            <w:r>
              <w:t>NDA, training, local company verification, service plan</w:t>
            </w:r>
          </w:p>
        </w:tc>
        <w:tc>
          <w:tcPr>
            <w:tcW w:type="dxa" w:w="3324"/>
          </w:tcPr>
          <w:p>
            <w:r>
              <w:t>Project-specific distributor price; initial orders prepaid</w:t>
            </w:r>
          </w:p>
        </w:tc>
      </w:tr>
      <w:tr>
        <w:tc>
          <w:tcPr>
            <w:tcW w:type="dxa" w:w="3324"/>
          </w:tcPr>
          <w:p>
            <w:r>
              <w:t>Certified service partner</w:t>
            </w:r>
          </w:p>
        </w:tc>
        <w:tc>
          <w:tcPr>
            <w:tcW w:type="dxa" w:w="3324"/>
          </w:tcPr>
          <w:p>
            <w:r>
              <w:t>Technical training, tools, safety and reporting readiness</w:t>
            </w:r>
          </w:p>
        </w:tc>
        <w:tc>
          <w:tcPr>
            <w:tcW w:type="dxa" w:w="3324"/>
          </w:tcPr>
          <w:p>
            <w:r>
              <w:t>Service work allocation by written project order</w:t>
            </w:r>
          </w:p>
        </w:tc>
      </w:tr>
      <w:tr>
        <w:tc>
          <w:tcPr>
            <w:tcW w:type="dxa" w:w="3324"/>
          </w:tcPr>
          <w:p>
            <w:r>
              <w:t>Exclusive territory candidate</w:t>
            </w:r>
          </w:p>
        </w:tc>
        <w:tc>
          <w:tcPr>
            <w:tcW w:type="dxa" w:w="3324"/>
          </w:tcPr>
          <w:p>
            <w:r>
              <w:t>Verified annual sales, service coverage and compliance history</w:t>
            </w:r>
          </w:p>
        </w:tc>
        <w:tc>
          <w:tcPr>
            <w:tcW w:type="dxa" w:w="3324"/>
          </w:tcPr>
          <w:p>
            <w:r>
              <w:t>Only by separate signed amendment with minimum target and review date</w:t>
            </w:r>
          </w:p>
        </w:tc>
      </w:tr>
    </w:tbl>
    <w:p>
      <w:pPr>
        <w:pStyle w:val="Heading1"/>
      </w:pPr>
      <w:r>
        <w:t>4. Proposed initial commercial parameters</w:t>
      </w:r>
    </w:p>
    <w:p>
      <w:pPr>
        <w:pStyle w:val="ListBullet"/>
      </w:pPr>
      <w:r>
        <w:t>No automatic country exclusivity.</w:t>
      </w:r>
    </w:p>
    <w:p>
      <w:pPr>
        <w:pStyle w:val="ListBullet"/>
      </w:pPr>
      <w:r>
        <w:t>Opportunity protection: 90 days, renewable when documented activity continues.</w:t>
      </w:r>
    </w:p>
    <w:p>
      <w:pPr>
        <w:pStyle w:val="ListBullet"/>
      </w:pPr>
      <w:r>
        <w:t>Minimum initial equipment order and discount are set per product quotation; no blanket price list for custom A-MEISTER plants.</w:t>
      </w:r>
    </w:p>
    <w:p>
      <w:pPr>
        <w:pStyle w:val="ListBullet"/>
      </w:pPr>
      <w:r>
        <w:t>Grease Trap Meister: MEISTER-led overseas construction generally from 50 units; customer/local-partner installation permits supply from one unit subject to agreed method.</w:t>
      </w:r>
    </w:p>
    <w:p>
      <w:pPr>
        <w:pStyle w:val="ListBullet"/>
      </w:pPr>
      <w:r>
        <w:t>A-MEISTER: design, pressure, capacity, boiler, drainage, freight, installation and local certification are quoted for each site.</w:t>
      </w:r>
    </w:p>
    <w:p>
      <w:pPr>
        <w:pStyle w:val="Heading1"/>
      </w:pPr>
      <w:r>
        <w:t>5. Mandatory contractual safeguards</w:t>
      </w:r>
    </w:p>
    <w:p>
      <w:pPr>
        <w:pStyle w:val="ListBullet"/>
      </w:pPr>
      <w:r>
        <w:t>NDA before detailed drawings, formulation, test conditions or customer data.</w:t>
      </w:r>
    </w:p>
    <w:p>
      <w:pPr>
        <w:pStyle w:val="ListBullet"/>
      </w:pPr>
      <w:r>
        <w:t>No reverse engineering, unauthorized manufacture, copying, sub-distribution or unapproved performance claims.</w:t>
      </w:r>
    </w:p>
    <w:p>
      <w:pPr>
        <w:pStyle w:val="ListBullet"/>
      </w:pPr>
      <w:r>
        <w:t>Partner is responsible for local import, permits, electrical, pressure-vessel, waste, fertilizer and environmental rules unless the order states otherwise.</w:t>
      </w:r>
    </w:p>
    <w:p>
      <w:pPr>
        <w:pStyle w:val="ListBullet"/>
      </w:pPr>
      <w:r>
        <w:t>Incoterms, currency, tax, warranty, acceptance, governing law and dispute resolution must be completed in each final contract.</w:t>
      </w:r>
    </w:p>
    <w:p>
      <w:pPr>
        <w:pStyle w:val="Heading1"/>
      </w:pPr>
      <w:r>
        <w:t>6. Approval fields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Item</w:t>
            </w:r>
          </w:p>
        </w:tc>
        <w:tc>
          <w:tcPr>
            <w:tcW w:type="dxa" w:w="4986"/>
          </w:tcPr>
          <w:p>
            <w:r>
              <w:t>Final approval</w:t>
            </w:r>
          </w:p>
        </w:tc>
      </w:tr>
      <w:tr>
        <w:tc>
          <w:tcPr>
            <w:tcW w:type="dxa" w:w="4986"/>
          </w:tcPr>
          <w:p>
            <w:r>
              <w:t>Test package prices</w:t>
            </w:r>
          </w:p>
        </w:tc>
        <w:tc>
          <w:tcPr>
            <w:tcW w:type="dxa" w:w="4986"/>
          </w:tcPr>
          <w:p>
            <w:r>
              <w:t>Representative director approval required before external quotation</w:t>
            </w:r>
          </w:p>
        </w:tc>
      </w:tr>
      <w:tr>
        <w:tc>
          <w:tcPr>
            <w:tcW w:type="dxa" w:w="4986"/>
          </w:tcPr>
          <w:p>
            <w:r>
              <w:t>Referral fee / distributor discount</w:t>
            </w:r>
          </w:p>
        </w:tc>
        <w:tc>
          <w:tcPr>
            <w:tcW w:type="dxa" w:w="4986"/>
          </w:tcPr>
          <w:p>
            <w:r>
              <w:t>Approve per country and project</w:t>
            </w:r>
          </w:p>
        </w:tc>
      </w:tr>
      <w:tr>
        <w:tc>
          <w:tcPr>
            <w:tcW w:type="dxa" w:w="4986"/>
          </w:tcPr>
          <w:p>
            <w:r>
              <w:t>Payment currency</w:t>
            </w:r>
          </w:p>
        </w:tc>
        <w:tc>
          <w:tcPr>
            <w:tcW w:type="dxa" w:w="4986"/>
          </w:tcPr>
          <w:p>
            <w:r>
              <w:t>JPY / USD / EUR as quoted</w:t>
            </w:r>
          </w:p>
        </w:tc>
      </w:tr>
      <w:tr>
        <w:tc>
          <w:tcPr>
            <w:tcW w:type="dxa" w:w="4986"/>
          </w:tcPr>
          <w:p>
            <w:r>
              <w:t>Governing law</w:t>
            </w:r>
          </w:p>
        </w:tc>
        <w:tc>
          <w:tcPr>
            <w:tcW w:type="dxa" w:w="4986"/>
          </w:tcPr>
          <w:p>
            <w:r>
              <w:t>Local counsel review</w:t>
            </w:r>
          </w:p>
        </w:tc>
      </w:tr>
      <w:tr>
        <w:tc>
          <w:tcPr>
            <w:tcW w:type="dxa" w:w="4986"/>
          </w:tcPr>
          <w:p>
            <w:r>
              <w:t>Exclusive territory</w:t>
            </w:r>
          </w:p>
        </w:tc>
        <w:tc>
          <w:tcPr>
            <w:tcW w:type="dxa" w:w="4986"/>
          </w:tcPr>
          <w:p>
            <w:r>
              <w:t>Separate board-level approval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6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MEISTER Co., Ltd. | Project-specific review required | Confidential when completed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