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C5341"/>
        </w:rPr>
        <w:t>MEISTER CO., LTD. / GLOBAL PROJECT OFFICE</w:t>
      </w:r>
    </w:p>
    <w:p>
      <w:pPr>
        <w:jc w:val="center"/>
      </w:pPr>
      <w:r>
        <w:rPr>
          <w:b/>
          <w:color w:val="08372F"/>
          <w:sz w:val="42"/>
        </w:rPr>
        <w:t>VIETNAM DIOXIN TECHNOLOGY ASSESSMENT PROPOSAL</w:t>
      </w:r>
    </w:p>
    <w:p>
      <w:pPr>
        <w:jc w:val="center"/>
      </w:pPr>
      <w:r>
        <w:rPr>
          <w:i/>
        </w:rPr>
        <w:t>Verification-led route for national, public and industrial projects</w:t>
      </w:r>
    </w:p>
    <w:p>
      <w:pPr>
        <w:pStyle w:val="Heading1"/>
      </w:pPr>
      <w:r>
        <w:t>1. Executive proposal</w:t>
      </w:r>
    </w:p>
    <w:p>
      <w:r>
        <w:t>MEISTER proposes a staged technology assessment for dioxin-contaminated soil and related POPs projects in Viet Nam. The proposal does not begin with a full-scale performance guarantee. It begins with document review, representative sampling, controlled testing, independent analysis and a jointly agreed pilot decision.</w:t>
      </w:r>
    </w:p>
    <w:p>
      <w:pPr>
        <w:pStyle w:val="Heading1"/>
      </w:pPr>
      <w:r>
        <w:t>2. Why Viet Nam / why now</w:t>
      </w:r>
    </w:p>
    <w:p>
      <w:pPr>
        <w:pStyle w:val="ListBullet"/>
      </w:pPr>
      <w:r>
        <w:t>Viet Nam has identified remediation of dioxin-contaminated hotspots as a national environmental priority.</w:t>
      </w:r>
    </w:p>
    <w:p>
      <w:pPr>
        <w:pStyle w:val="ListBullet"/>
      </w:pPr>
      <w:r>
        <w:t>Official and UNDP materials show that contaminated-site projects require site-specific assessment, containment/remediation planning, safe land use and institutional coordination.</w:t>
      </w:r>
    </w:p>
    <w:p>
      <w:pPr>
        <w:pStyle w:val="ListBullet"/>
      </w:pPr>
      <w:r>
        <w:t>A new technology should therefore enter through a controlled evidence and regulatory-review pathway.</w:t>
      </w:r>
    </w:p>
    <w:p>
      <w:pPr>
        <w:pStyle w:val="Heading1"/>
      </w:pPr>
      <w:r>
        <w:t>3. MEISTER technology routes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Route</w:t>
            </w:r>
          </w:p>
        </w:tc>
        <w:tc>
          <w:tcPr>
            <w:tcW w:type="dxa" w:w="3324"/>
          </w:tcPr>
          <w:p>
            <w:r>
              <w:t>Target</w:t>
            </w:r>
          </w:p>
        </w:tc>
        <w:tc>
          <w:tcPr>
            <w:tcW w:type="dxa" w:w="3324"/>
          </w:tcPr>
          <w:p>
            <w:r>
              <w:t>Role</w:t>
            </w:r>
          </w:p>
        </w:tc>
      </w:tr>
      <w:tr>
        <w:tc>
          <w:tcPr>
            <w:tcW w:type="dxa" w:w="3324"/>
          </w:tcPr>
          <w:p>
            <w:r>
              <w:t>Soil amendment / conditioning</w:t>
            </w:r>
          </w:p>
        </w:tc>
        <w:tc>
          <w:tcPr>
            <w:tcW w:type="dxa" w:w="3324"/>
          </w:tcPr>
          <w:p>
            <w:r>
              <w:t>Dioxin and PCB-contaminated soil</w:t>
            </w:r>
          </w:p>
        </w:tc>
        <w:tc>
          <w:tcPr>
            <w:tcW w:type="dxa" w:w="3324"/>
          </w:tcPr>
          <w:p>
            <w:r>
              <w:t>Evaluate adsorption, immobilization and related treatment under site-specific conditions.</w:t>
            </w:r>
          </w:p>
        </w:tc>
      </w:tr>
      <w:tr>
        <w:tc>
          <w:tcPr>
            <w:tcW w:type="dxa" w:w="3324"/>
          </w:tcPr>
          <w:p>
            <w:r>
              <w:t>A-MEISTER hydrothermal treatment</w:t>
            </w:r>
          </w:p>
        </w:tc>
        <w:tc>
          <w:tcPr>
            <w:tcW w:type="dxa" w:w="3324"/>
          </w:tcPr>
          <w:p>
            <w:r>
              <w:t>Organic matrices containing dioxin or other organics</w:t>
            </w:r>
          </w:p>
        </w:tc>
        <w:tc>
          <w:tcPr>
            <w:tcW w:type="dxa" w:w="3324"/>
          </w:tcPr>
          <w:p>
            <w:r>
              <w:t>Evaluate hydrolysis/decomposition, followed by analysis of solids, liquid, condensate and emissions.</w:t>
            </w:r>
          </w:p>
        </w:tc>
      </w:tr>
      <w:tr>
        <w:tc>
          <w:tcPr>
            <w:tcW w:type="dxa" w:w="3324"/>
          </w:tcPr>
          <w:p>
            <w:r>
              <w:t>Combined route</w:t>
            </w:r>
          </w:p>
        </w:tc>
        <w:tc>
          <w:tcPr>
            <w:tcW w:type="dxa" w:w="3324"/>
          </w:tcPr>
          <w:p>
            <w:r>
              <w:t>Mixed or difficult residues</w:t>
            </w:r>
          </w:p>
        </w:tc>
        <w:tc>
          <w:tcPr>
            <w:tcW w:type="dxa" w:w="3324"/>
          </w:tcPr>
          <w:p>
            <w:r>
              <w:t>Select sequential treatment only when analytical evidence supports it.</w:t>
            </w:r>
          </w:p>
        </w:tc>
      </w:tr>
    </w:tbl>
    <w:p>
      <w:pPr>
        <w:pStyle w:val="Heading1"/>
      </w:pPr>
      <w:r>
        <w:t>4. Existing evidence presented for screening</w:t>
      </w:r>
    </w:p>
    <w:p>
      <w:pPr>
        <w:pStyle w:val="ListBullet"/>
      </w:pPr>
      <w:r>
        <w:t>WO2011074120A1 Example 1 reports dioxin WHO-TEQ (1998) changing from 81,122 to 543 pg-TEQ/g after six weeks; calculated reduction 99.33%.</w:t>
      </w:r>
    </w:p>
    <w:p>
      <w:pPr>
        <w:pStyle w:val="ListBullet"/>
      </w:pPr>
      <w:r>
        <w:t>A second disclosed example changes from 771.8 to 23.3 pg-TEQ/g; calculated reduction 96.98%.</w:t>
      </w:r>
    </w:p>
    <w:p>
      <w:pPr>
        <w:pStyle w:val="ListBullet"/>
      </w:pPr>
      <w:r>
        <w:t>These are individual examples, not an average, guaranteed result, or proof for another Vietnamese site.</w:t>
      </w:r>
    </w:p>
    <w:p>
      <w:pPr>
        <w:pStyle w:val="Heading1"/>
      </w:pPr>
      <w:r>
        <w:t>5. Six-stage national-project pathway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Stage</w:t>
            </w:r>
          </w:p>
        </w:tc>
        <w:tc>
          <w:tcPr>
            <w:tcW w:type="dxa" w:w="3324"/>
          </w:tcPr>
          <w:p>
            <w:r>
              <w:t>Deliverable</w:t>
            </w:r>
          </w:p>
        </w:tc>
        <w:tc>
          <w:tcPr>
            <w:tcW w:type="dxa" w:w="3324"/>
          </w:tcPr>
          <w:p>
            <w:r>
              <w:t>Decision</w:t>
            </w:r>
          </w:p>
        </w:tc>
      </w:tr>
      <w:tr>
        <w:tc>
          <w:tcPr>
            <w:tcW w:type="dxa" w:w="3324"/>
          </w:tcPr>
          <w:p>
            <w:r>
              <w:t>1</w:t>
            </w:r>
          </w:p>
        </w:tc>
        <w:tc>
          <w:tcPr>
            <w:tcW w:type="dxa" w:w="3324"/>
          </w:tcPr>
          <w:p>
            <w:r>
              <w:t>NDA and existing-data review</w:t>
            </w:r>
          </w:p>
        </w:tc>
        <w:tc>
          <w:tcPr>
            <w:tcW w:type="dxa" w:w="3324"/>
          </w:tcPr>
          <w:p>
            <w:r>
              <w:t>Proceed to sampling plan</w:t>
            </w:r>
          </w:p>
        </w:tc>
      </w:tr>
      <w:tr>
        <w:tc>
          <w:tcPr>
            <w:tcW w:type="dxa" w:w="3324"/>
          </w:tcPr>
          <w:p>
            <w:r>
              <w:t>2</w:t>
            </w:r>
          </w:p>
        </w:tc>
        <w:tc>
          <w:tcPr>
            <w:tcW w:type="dxa" w:w="3324"/>
          </w:tcPr>
          <w:p>
            <w:r>
              <w:t>Representative samples and untreated controls</w:t>
            </w:r>
          </w:p>
        </w:tc>
        <w:tc>
          <w:tcPr>
            <w:tcW w:type="dxa" w:w="3324"/>
          </w:tcPr>
          <w:p>
            <w:r>
              <w:t>Test protocol approval</w:t>
            </w:r>
          </w:p>
        </w:tc>
      </w:tr>
      <w:tr>
        <w:tc>
          <w:tcPr>
            <w:tcW w:type="dxa" w:w="3324"/>
          </w:tcPr>
          <w:p>
            <w:r>
              <w:t>3</w:t>
            </w:r>
          </w:p>
        </w:tc>
        <w:tc>
          <w:tcPr>
            <w:tcW w:type="dxa" w:w="3324"/>
          </w:tcPr>
          <w:p>
            <w:r>
              <w:t>Paid laboratory treatability test</w:t>
            </w:r>
          </w:p>
        </w:tc>
        <w:tc>
          <w:tcPr>
            <w:tcW w:type="dxa" w:w="3324"/>
          </w:tcPr>
          <w:p>
            <w:r>
              <w:t>Technical response</w:t>
            </w:r>
          </w:p>
        </w:tc>
      </w:tr>
      <w:tr>
        <w:tc>
          <w:tcPr>
            <w:tcW w:type="dxa" w:w="3324"/>
          </w:tcPr>
          <w:p>
            <w:r>
              <w:t>4</w:t>
            </w:r>
          </w:p>
        </w:tc>
        <w:tc>
          <w:tcPr>
            <w:tcW w:type="dxa" w:w="3324"/>
          </w:tcPr>
          <w:p>
            <w:r>
              <w:t>Independent laboratory analysis and mass-balance review</w:t>
            </w:r>
          </w:p>
        </w:tc>
        <w:tc>
          <w:tcPr>
            <w:tcW w:type="dxa" w:w="3324"/>
          </w:tcPr>
          <w:p>
            <w:r>
              <w:t>Pilot eligibility</w:t>
            </w:r>
          </w:p>
        </w:tc>
      </w:tr>
      <w:tr>
        <w:tc>
          <w:tcPr>
            <w:tcW w:type="dxa" w:w="3324"/>
          </w:tcPr>
          <w:p>
            <w:r>
              <w:t>5</w:t>
            </w:r>
          </w:p>
        </w:tc>
        <w:tc>
          <w:tcPr>
            <w:tcW w:type="dxa" w:w="3324"/>
          </w:tcPr>
          <w:p>
            <w:r>
              <w:t>Pilot-scale field verification</w:t>
            </w:r>
          </w:p>
        </w:tc>
        <w:tc>
          <w:tcPr>
            <w:tcW w:type="dxa" w:w="3324"/>
          </w:tcPr>
          <w:p>
            <w:r>
              <w:t>Commercial and regulatory decision</w:t>
            </w:r>
          </w:p>
        </w:tc>
      </w:tr>
      <w:tr>
        <w:tc>
          <w:tcPr>
            <w:tcW w:type="dxa" w:w="3324"/>
          </w:tcPr>
          <w:p>
            <w:r>
              <w:t>6</w:t>
            </w:r>
          </w:p>
        </w:tc>
        <w:tc>
          <w:tcPr>
            <w:tcW w:type="dxa" w:w="3324"/>
          </w:tcPr>
          <w:p>
            <w:r>
              <w:t>Site-specific design, permit support and implementation plan</w:t>
            </w:r>
          </w:p>
        </w:tc>
        <w:tc>
          <w:tcPr>
            <w:tcW w:type="dxa" w:w="3324"/>
          </w:tcPr>
          <w:p>
            <w:r>
              <w:t>Contract / procurement</w:t>
            </w:r>
          </w:p>
        </w:tc>
      </w:tr>
    </w:tbl>
    <w:p>
      <w:pPr>
        <w:pStyle w:val="Heading1"/>
      </w:pPr>
      <w:r>
        <w:t>6. Information requested</w:t>
      </w:r>
    </w:p>
    <w:p>
      <w:pPr>
        <w:pStyle w:val="ListBullet"/>
      </w:pPr>
      <w:r>
        <w:t>Site owner and competent authority</w:t>
      </w:r>
    </w:p>
    <w:p>
      <w:pPr>
        <w:pStyle w:val="ListBullet"/>
      </w:pPr>
      <w:r>
        <w:t>Location, history and land-use objective</w:t>
      </w:r>
    </w:p>
    <w:p>
      <w:pPr>
        <w:pStyle w:val="ListBullet"/>
      </w:pPr>
      <w:r>
        <w:t>Congener profile, TEQ basis, concentration range and analytical method</w:t>
      </w:r>
    </w:p>
    <w:p>
      <w:pPr>
        <w:pStyle w:val="ListBullet"/>
      </w:pPr>
      <w:r>
        <w:t>Soil type, moisture, organic matter, groundwater and estimated volume</w:t>
      </w:r>
    </w:p>
    <w:p>
      <w:pPr>
        <w:pStyle w:val="ListBullet"/>
      </w:pPr>
      <w:r>
        <w:t>Required cleanup criterion, schedule and residual-management route</w:t>
      </w:r>
    </w:p>
    <w:p>
      <w:pPr>
        <w:pStyle w:val="ListBullet"/>
      </w:pPr>
      <w:r>
        <w:t>Sampling, custody, import/export and laboratory requirements</w:t>
      </w:r>
    </w:p>
    <w:p>
      <w:pPr>
        <w:pStyle w:val="Heading1"/>
      </w:pPr>
      <w:r>
        <w:t>7. Formal limitations</w:t>
      </w:r>
    </w:p>
    <w:p>
      <w:r>
        <w:t>Chemical similarity between PCB and dioxins, and experience described in a PCB-related patent publication, do not independently prove performance for a new dioxin matrix. Final claims require representative testing, independent verification, emissions/wastewater review and acceptance by the competent Vietnamese authorities.</w:t>
      </w:r>
    </w:p>
    <w:p>
      <w:pPr>
        <w:pStyle w:val="Heading1"/>
      </w:pPr>
      <w:r>
        <w:t>8. Official context sources</w:t>
      </w:r>
    </w:p>
    <w:p>
      <w:pPr>
        <w:pStyle w:val="ListBullet"/>
      </w:pPr>
      <w:r>
        <w:t>UNDP Viet Nam - Environmental remediation of dioxin contaminated hotspots: https://www.undp.org/vietnam/publications/environmental-remediation-dioxin-contaminated-hotspots-viet-nam-report-communication-component</w:t>
      </w:r>
    </w:p>
    <w:p>
      <w:pPr>
        <w:pStyle w:val="ListBullet"/>
      </w:pPr>
      <w:r>
        <w:t>Viet Nam national environmental strategy: https://vietnam.gov.vn/period-20112020/national-strategy-on-environment-protection-to-2020-with-visions-to-2030</w:t>
      </w:r>
    </w:p>
    <w:p>
      <w:pPr>
        <w:pStyle w:val="ListBullet"/>
      </w:pPr>
      <w:r>
        <w:t>Vietnam Academy of Science and Technology: https://vast.gov.vn/</w:t>
      </w:r>
    </w:p>
    <w:sectPr w:rsidR="00FC693F" w:rsidRPr="0006063C" w:rsidSect="00034616">
      <w:footerReference w:type="default" r:id="rId9"/>
      <w:pgSz w:w="12240" w:h="15840"/>
      <w:pgMar w:top="964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MEISTER Co., Ltd. | Project-specific review required | Confidential when completed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